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4FD67" w14:textId="30022468" w:rsidR="00B016A7" w:rsidRDefault="00325265" w:rsidP="001936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CHRISLAND UNIVERSITY </w:t>
      </w:r>
    </w:p>
    <w:p w14:paraId="2E1DE7F2" w14:textId="77777777" w:rsidR="0019361A" w:rsidRDefault="0019361A" w:rsidP="0019361A">
      <w:pPr>
        <w:spacing w:line="360" w:lineRule="auto"/>
        <w:jc w:val="center"/>
        <w:rPr>
          <w:rFonts w:ascii="Times New Roman" w:hAnsi="Times New Roman" w:cs="Times New Roman"/>
          <w:b/>
          <w:sz w:val="28"/>
          <w:szCs w:val="28"/>
        </w:rPr>
      </w:pPr>
    </w:p>
    <w:p w14:paraId="1DDFCF3C" w14:textId="6688BA7A" w:rsidR="0019361A" w:rsidRDefault="00325265" w:rsidP="0019361A">
      <w:pPr>
        <w:spacing w:line="360" w:lineRule="auto"/>
        <w:jc w:val="center"/>
        <w:rPr>
          <w:rFonts w:ascii="Times New Roman" w:hAnsi="Times New Roman" w:cs="Times New Roman"/>
          <w:b/>
          <w:sz w:val="28"/>
          <w:szCs w:val="28"/>
        </w:rPr>
      </w:pPr>
      <w:r w:rsidRPr="00325265">
        <w:rPr>
          <w:rFonts w:ascii="Times New Roman" w:hAnsi="Times New Roman" w:cs="Times New Roman"/>
          <w:b/>
          <w:sz w:val="28"/>
          <w:szCs w:val="28"/>
        </w:rPr>
        <w:t>THE PREVALENCE AND DISTRIBUTION OF CARBAPENEM RESISTANCE GRAM NEGATIVE BACTERIA IN SOME POULTRY FARMS IN ABEOKUTA</w:t>
      </w:r>
    </w:p>
    <w:p w14:paraId="2666BAE8" w14:textId="77777777" w:rsidR="0019361A" w:rsidRDefault="0019361A" w:rsidP="0019361A">
      <w:pPr>
        <w:spacing w:line="360" w:lineRule="auto"/>
        <w:jc w:val="center"/>
        <w:rPr>
          <w:rFonts w:ascii="Times New Roman" w:hAnsi="Times New Roman" w:cs="Times New Roman"/>
          <w:b/>
          <w:sz w:val="28"/>
          <w:szCs w:val="28"/>
        </w:rPr>
      </w:pPr>
      <w:bookmarkStart w:id="0" w:name="_GoBack"/>
      <w:bookmarkEnd w:id="0"/>
    </w:p>
    <w:p w14:paraId="4CD4355C" w14:textId="746FAF95" w:rsidR="00325265" w:rsidRDefault="00325265" w:rsidP="0019361A">
      <w:pPr>
        <w:spacing w:line="360" w:lineRule="auto"/>
        <w:jc w:val="center"/>
        <w:rPr>
          <w:rFonts w:ascii="Times New Roman" w:hAnsi="Times New Roman" w:cs="Times New Roman"/>
          <w:b/>
          <w:sz w:val="28"/>
          <w:szCs w:val="28"/>
        </w:rPr>
      </w:pPr>
      <w:r w:rsidRPr="00325265">
        <w:rPr>
          <w:rFonts w:ascii="Times New Roman" w:hAnsi="Times New Roman" w:cs="Times New Roman"/>
          <w:b/>
          <w:sz w:val="28"/>
          <w:szCs w:val="28"/>
        </w:rPr>
        <w:t xml:space="preserve"> </w:t>
      </w:r>
      <w:r>
        <w:rPr>
          <w:rFonts w:ascii="Times New Roman" w:hAnsi="Times New Roman" w:cs="Times New Roman"/>
          <w:b/>
          <w:sz w:val="28"/>
          <w:szCs w:val="28"/>
        </w:rPr>
        <w:t>(BELLO DAMILOLA MARY)</w:t>
      </w:r>
    </w:p>
    <w:p w14:paraId="4C57FCC4" w14:textId="77777777" w:rsidR="0019361A" w:rsidRDefault="0019361A" w:rsidP="0019361A">
      <w:pPr>
        <w:spacing w:line="360" w:lineRule="auto"/>
        <w:jc w:val="center"/>
        <w:rPr>
          <w:rFonts w:ascii="Times New Roman" w:hAnsi="Times New Roman" w:cs="Times New Roman"/>
          <w:b/>
          <w:sz w:val="28"/>
          <w:szCs w:val="28"/>
        </w:rPr>
      </w:pPr>
    </w:p>
    <w:p w14:paraId="03ECDCD9" w14:textId="0703E06A" w:rsidR="00325265" w:rsidRPr="00B016A7" w:rsidRDefault="00325265" w:rsidP="00B016A7">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14:paraId="00000001" w14:textId="77777777" w:rsidR="00144145" w:rsidRDefault="00B24979" w:rsidP="00325265">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Carbapenem resistance in Gram-negative bacteria has carbapenem resistance among Gram-negative bacteria from poultry samples. Poultry samples were obtained from three farms in Abeokuta, Ogun State. A total of seventy-eight (78) samples (Faecal, Feed and Water) were analysed using the streaking method. Identification of isolates was done using the conventional microbiological method of identification. Antimicrobial susceptibility testing was done using the disk diffusion method according to CLSI guidelines. The isolates obtained from the farm were identified as </w:t>
      </w:r>
      <w:r>
        <w:rPr>
          <w:rFonts w:ascii="Times New Roman" w:eastAsia="Times New Roman" w:hAnsi="Times New Roman" w:cs="Times New Roman"/>
          <w:i/>
          <w:sz w:val="24"/>
          <w:szCs w:val="24"/>
        </w:rPr>
        <w:t>Escherichia coli</w:t>
      </w:r>
      <w:r>
        <w:rPr>
          <w:rFonts w:ascii="Times New Roman" w:eastAsia="Times New Roman" w:hAnsi="Times New Roman" w:cs="Times New Roman"/>
          <w:sz w:val="24"/>
          <w:szCs w:val="24"/>
        </w:rPr>
        <w:t xml:space="preserve"> 1 (1.3%), </w:t>
      </w:r>
      <w:r>
        <w:rPr>
          <w:rFonts w:ascii="Times New Roman" w:eastAsia="Times New Roman" w:hAnsi="Times New Roman" w:cs="Times New Roman"/>
          <w:i/>
          <w:sz w:val="24"/>
          <w:szCs w:val="24"/>
        </w:rPr>
        <w:t>Proteus mirabilis</w:t>
      </w:r>
      <w:r>
        <w:rPr>
          <w:rFonts w:ascii="Times New Roman" w:eastAsia="Times New Roman" w:hAnsi="Times New Roman" w:cs="Times New Roman"/>
          <w:sz w:val="24"/>
          <w:szCs w:val="24"/>
        </w:rPr>
        <w:t xml:space="preserve"> 27 (34.6%), </w:t>
      </w:r>
      <w:r>
        <w:rPr>
          <w:rFonts w:ascii="Times New Roman" w:eastAsia="Times New Roman" w:hAnsi="Times New Roman" w:cs="Times New Roman"/>
          <w:i/>
          <w:sz w:val="24"/>
          <w:szCs w:val="24"/>
        </w:rPr>
        <w:t>Proteus vulgaris</w:t>
      </w:r>
      <w:r>
        <w:rPr>
          <w:rFonts w:ascii="Times New Roman" w:eastAsia="Times New Roman" w:hAnsi="Times New Roman" w:cs="Times New Roman"/>
          <w:sz w:val="24"/>
          <w:szCs w:val="24"/>
        </w:rPr>
        <w:t xml:space="preserve"> 10 (12.8%), </w:t>
      </w:r>
      <w:r>
        <w:rPr>
          <w:rFonts w:ascii="Times New Roman" w:eastAsia="Times New Roman" w:hAnsi="Times New Roman" w:cs="Times New Roman"/>
          <w:i/>
          <w:sz w:val="24"/>
          <w:szCs w:val="24"/>
        </w:rPr>
        <w:t xml:space="preserve">Enterobacter agglomerans </w:t>
      </w:r>
      <w:r>
        <w:rPr>
          <w:rFonts w:ascii="Times New Roman" w:eastAsia="Times New Roman" w:hAnsi="Times New Roman" w:cs="Times New Roman"/>
          <w:sz w:val="24"/>
          <w:szCs w:val="24"/>
        </w:rPr>
        <w:t xml:space="preserve">4 (5.1%), </w:t>
      </w:r>
      <w:r>
        <w:rPr>
          <w:rFonts w:ascii="Times New Roman" w:eastAsia="Times New Roman" w:hAnsi="Times New Roman" w:cs="Times New Roman"/>
          <w:i/>
          <w:sz w:val="24"/>
          <w:szCs w:val="24"/>
        </w:rPr>
        <w:t xml:space="preserve">Klebsiella oxytoca </w:t>
      </w:r>
      <w:r>
        <w:rPr>
          <w:rFonts w:ascii="Times New Roman" w:eastAsia="Times New Roman" w:hAnsi="Times New Roman" w:cs="Times New Roman"/>
          <w:sz w:val="24"/>
          <w:szCs w:val="24"/>
        </w:rPr>
        <w:t>11 (14.1%),</w:t>
      </w:r>
      <w:r>
        <w:rPr>
          <w:rFonts w:ascii="Times New Roman" w:eastAsia="Times New Roman" w:hAnsi="Times New Roman" w:cs="Times New Roman"/>
          <w:i/>
          <w:sz w:val="24"/>
          <w:szCs w:val="24"/>
        </w:rPr>
        <w:t xml:space="preserve"> Trabulsiella guamensis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Morganella morganii </w:t>
      </w:r>
      <w:r>
        <w:rPr>
          <w:rFonts w:ascii="Times New Roman" w:eastAsia="Times New Roman" w:hAnsi="Times New Roman" w:cs="Times New Roman"/>
          <w:sz w:val="24"/>
          <w:szCs w:val="24"/>
        </w:rPr>
        <w:t>2 (2.6%),</w:t>
      </w:r>
      <w:r>
        <w:rPr>
          <w:rFonts w:ascii="Times New Roman" w:eastAsia="Times New Roman" w:hAnsi="Times New Roman" w:cs="Times New Roman"/>
          <w:i/>
          <w:sz w:val="24"/>
          <w:szCs w:val="24"/>
        </w:rPr>
        <w:t xml:space="preserve"> Enterobacter cancerogenus</w:t>
      </w:r>
      <w:r>
        <w:rPr>
          <w:rFonts w:ascii="Times New Roman" w:eastAsia="Times New Roman" w:hAnsi="Times New Roman" w:cs="Times New Roman"/>
          <w:sz w:val="24"/>
          <w:szCs w:val="24"/>
        </w:rPr>
        <w:t xml:space="preserve"> 3 (3.8%), </w:t>
      </w:r>
      <w:r>
        <w:rPr>
          <w:rFonts w:ascii="Times New Roman" w:eastAsia="Times New Roman" w:hAnsi="Times New Roman" w:cs="Times New Roman"/>
          <w:i/>
          <w:sz w:val="24"/>
          <w:szCs w:val="24"/>
        </w:rPr>
        <w:t>Providencia rettgeri</w:t>
      </w:r>
      <w:r>
        <w:rPr>
          <w:rFonts w:ascii="Times New Roman" w:eastAsia="Times New Roman" w:hAnsi="Times New Roman" w:cs="Times New Roman"/>
          <w:sz w:val="24"/>
          <w:szCs w:val="24"/>
        </w:rPr>
        <w:t xml:space="preserve"> 7 (8.9%), </w:t>
      </w:r>
      <w:r>
        <w:rPr>
          <w:rFonts w:ascii="Times New Roman" w:eastAsia="Times New Roman" w:hAnsi="Times New Roman" w:cs="Times New Roman"/>
          <w:i/>
          <w:sz w:val="24"/>
          <w:szCs w:val="24"/>
        </w:rPr>
        <w:t xml:space="preserve">Salmonella spp </w:t>
      </w:r>
      <w:r>
        <w:rPr>
          <w:rFonts w:ascii="Times New Roman" w:eastAsia="Times New Roman" w:hAnsi="Times New Roman" w:cs="Times New Roman"/>
          <w:sz w:val="24"/>
          <w:szCs w:val="24"/>
        </w:rPr>
        <w:t xml:space="preserve">3 (3.8%), </w:t>
      </w:r>
      <w:r>
        <w:rPr>
          <w:rFonts w:ascii="Times New Roman" w:eastAsia="Times New Roman" w:hAnsi="Times New Roman" w:cs="Times New Roman"/>
          <w:i/>
          <w:sz w:val="24"/>
          <w:szCs w:val="24"/>
        </w:rPr>
        <w:t>Xernorhabdus luminescens</w:t>
      </w:r>
      <w:r>
        <w:rPr>
          <w:rFonts w:ascii="Times New Roman" w:eastAsia="Times New Roman" w:hAnsi="Times New Roman" w:cs="Times New Roman"/>
          <w:sz w:val="24"/>
          <w:szCs w:val="24"/>
        </w:rPr>
        <w:t xml:space="preserve"> 2 (2.6%), </w:t>
      </w:r>
      <w:r>
        <w:rPr>
          <w:rFonts w:ascii="Times New Roman" w:eastAsia="Times New Roman" w:hAnsi="Times New Roman" w:cs="Times New Roman"/>
          <w:i/>
          <w:sz w:val="24"/>
          <w:szCs w:val="24"/>
        </w:rPr>
        <w:t>Citrobacter amalonaticus</w:t>
      </w:r>
      <w:r>
        <w:rPr>
          <w:rFonts w:ascii="Times New Roman" w:eastAsia="Times New Roman" w:hAnsi="Times New Roman" w:cs="Times New Roman"/>
          <w:sz w:val="24"/>
          <w:szCs w:val="24"/>
        </w:rPr>
        <w:t xml:space="preserve"> 1 (1.3%), </w:t>
      </w:r>
      <w:r>
        <w:rPr>
          <w:rFonts w:ascii="Times New Roman" w:eastAsia="Times New Roman" w:hAnsi="Times New Roman" w:cs="Times New Roman"/>
          <w:i/>
          <w:sz w:val="24"/>
          <w:szCs w:val="24"/>
        </w:rPr>
        <w:t xml:space="preserve">Leminorella grimontii </w:t>
      </w:r>
      <w:r>
        <w:rPr>
          <w:rFonts w:ascii="Times New Roman" w:eastAsia="Times New Roman" w:hAnsi="Times New Roman" w:cs="Times New Roman"/>
          <w:sz w:val="24"/>
          <w:szCs w:val="24"/>
        </w:rPr>
        <w:t>1 (1.3%),and</w:t>
      </w:r>
      <w:r>
        <w:rPr>
          <w:rFonts w:ascii="Times New Roman" w:eastAsia="Times New Roman" w:hAnsi="Times New Roman" w:cs="Times New Roman"/>
          <w:i/>
          <w:sz w:val="24"/>
          <w:szCs w:val="24"/>
        </w:rPr>
        <w:t xml:space="preserve"> Citrobacter diversus </w:t>
      </w:r>
      <w:r>
        <w:rPr>
          <w:rFonts w:ascii="Times New Roman" w:eastAsia="Times New Roman" w:hAnsi="Times New Roman" w:cs="Times New Roman"/>
          <w:sz w:val="24"/>
          <w:szCs w:val="24"/>
        </w:rPr>
        <w:t>1 (1.3%).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antimicrobial susceptibility pattern revealed that 65.4% (51/78) isolates were resistant to Imipenem and 80.8% (63/78) isolates were resistant to Ertapenem. The prevalence of carbapenem resistance among Gram negative bacteria in the present study is 57.7% (45/78). This finding highlights the level of Gram-negative resistance strains to carbapenems from poultry farms in Abeokuta, which could constitute a public health problem in the food chain through poultry products. Therefore, antibiotic surveillance is necessary to prevent the spread.</w:t>
      </w:r>
    </w:p>
    <w:p w14:paraId="00000004" w14:textId="77777777" w:rsidR="00144145" w:rsidRDefault="00144145"/>
    <w:sectPr w:rsidR="00144145" w:rsidSect="00325265">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66ED6" w14:textId="77777777" w:rsidR="009068D3" w:rsidRDefault="009068D3" w:rsidP="00325265">
      <w:pPr>
        <w:spacing w:line="240" w:lineRule="auto"/>
      </w:pPr>
      <w:r>
        <w:separator/>
      </w:r>
    </w:p>
  </w:endnote>
  <w:endnote w:type="continuationSeparator" w:id="0">
    <w:p w14:paraId="2A84F55F" w14:textId="77777777" w:rsidR="009068D3" w:rsidRDefault="009068D3" w:rsidP="00325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866D9" w14:textId="77777777" w:rsidR="009068D3" w:rsidRDefault="009068D3" w:rsidP="00325265">
      <w:pPr>
        <w:spacing w:line="240" w:lineRule="auto"/>
      </w:pPr>
      <w:r>
        <w:separator/>
      </w:r>
    </w:p>
  </w:footnote>
  <w:footnote w:type="continuationSeparator" w:id="0">
    <w:p w14:paraId="0205877D" w14:textId="77777777" w:rsidR="009068D3" w:rsidRDefault="009068D3" w:rsidP="003252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4145"/>
    <w:rsid w:val="00144145"/>
    <w:rsid w:val="0019361A"/>
    <w:rsid w:val="0024585C"/>
    <w:rsid w:val="00325265"/>
    <w:rsid w:val="009068D3"/>
    <w:rsid w:val="00B016A7"/>
    <w:rsid w:val="00B2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25265"/>
    <w:pPr>
      <w:tabs>
        <w:tab w:val="center" w:pos="4680"/>
        <w:tab w:val="right" w:pos="9360"/>
      </w:tabs>
      <w:spacing w:line="240" w:lineRule="auto"/>
    </w:pPr>
  </w:style>
  <w:style w:type="character" w:customStyle="1" w:styleId="HeaderChar">
    <w:name w:val="Header Char"/>
    <w:basedOn w:val="DefaultParagraphFont"/>
    <w:link w:val="Header"/>
    <w:uiPriority w:val="99"/>
    <w:rsid w:val="00325265"/>
  </w:style>
  <w:style w:type="paragraph" w:styleId="Footer">
    <w:name w:val="footer"/>
    <w:basedOn w:val="Normal"/>
    <w:link w:val="FooterChar"/>
    <w:uiPriority w:val="99"/>
    <w:unhideWhenUsed/>
    <w:rsid w:val="00325265"/>
    <w:pPr>
      <w:tabs>
        <w:tab w:val="center" w:pos="4680"/>
        <w:tab w:val="right" w:pos="9360"/>
      </w:tabs>
      <w:spacing w:line="240" w:lineRule="auto"/>
    </w:pPr>
  </w:style>
  <w:style w:type="character" w:customStyle="1" w:styleId="FooterChar">
    <w:name w:val="Footer Char"/>
    <w:basedOn w:val="DefaultParagraphFont"/>
    <w:link w:val="Footer"/>
    <w:uiPriority w:val="99"/>
    <w:rsid w:val="00325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25265"/>
    <w:pPr>
      <w:tabs>
        <w:tab w:val="center" w:pos="4680"/>
        <w:tab w:val="right" w:pos="9360"/>
      </w:tabs>
      <w:spacing w:line="240" w:lineRule="auto"/>
    </w:pPr>
  </w:style>
  <w:style w:type="character" w:customStyle="1" w:styleId="HeaderChar">
    <w:name w:val="Header Char"/>
    <w:basedOn w:val="DefaultParagraphFont"/>
    <w:link w:val="Header"/>
    <w:uiPriority w:val="99"/>
    <w:rsid w:val="00325265"/>
  </w:style>
  <w:style w:type="paragraph" w:styleId="Footer">
    <w:name w:val="footer"/>
    <w:basedOn w:val="Normal"/>
    <w:link w:val="FooterChar"/>
    <w:uiPriority w:val="99"/>
    <w:unhideWhenUsed/>
    <w:rsid w:val="00325265"/>
    <w:pPr>
      <w:tabs>
        <w:tab w:val="center" w:pos="4680"/>
        <w:tab w:val="right" w:pos="9360"/>
      </w:tabs>
      <w:spacing w:line="240" w:lineRule="auto"/>
    </w:pPr>
  </w:style>
  <w:style w:type="character" w:customStyle="1" w:styleId="FooterChar">
    <w:name w:val="Footer Char"/>
    <w:basedOn w:val="DefaultParagraphFont"/>
    <w:link w:val="Footer"/>
    <w:uiPriority w:val="99"/>
    <w:rsid w:val="0032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18110">
      <w:bodyDiv w:val="1"/>
      <w:marLeft w:val="0"/>
      <w:marRight w:val="0"/>
      <w:marTop w:val="0"/>
      <w:marBottom w:val="0"/>
      <w:divBdr>
        <w:top w:val="none" w:sz="0" w:space="0" w:color="auto"/>
        <w:left w:val="none" w:sz="0" w:space="0" w:color="auto"/>
        <w:bottom w:val="none" w:sz="0" w:space="0" w:color="auto"/>
        <w:right w:val="none" w:sz="0" w:space="0" w:color="auto"/>
      </w:divBdr>
    </w:div>
    <w:div w:id="184708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2021-11-25T17:19:00Z</dcterms:created>
  <dcterms:modified xsi:type="dcterms:W3CDTF">2021-11-25T20:42:00Z</dcterms:modified>
</cp:coreProperties>
</file>