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97D5A" w14:textId="77777777" w:rsidR="002B3830" w:rsidRDefault="002B3830" w:rsidP="002B38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CHRISLAND UNIVERSITY </w:t>
      </w:r>
    </w:p>
    <w:p w14:paraId="74C71F4E" w14:textId="77777777" w:rsidR="002B3830" w:rsidRDefault="002B3830" w:rsidP="002B38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08F33E" w14:textId="26D6C76D" w:rsidR="002B3830" w:rsidRDefault="002B3830" w:rsidP="002B38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830">
        <w:rPr>
          <w:rFonts w:ascii="Times New Roman" w:hAnsi="Times New Roman" w:cs="Times New Roman"/>
          <w:b/>
          <w:sz w:val="28"/>
          <w:szCs w:val="28"/>
        </w:rPr>
        <w:t>DISTRIBUTION OF GRAM NEGATIVE COLISTIN RESISTANT BACTERIA IN ABEOKUTA POULTRY FARMS.</w:t>
      </w:r>
    </w:p>
    <w:p w14:paraId="18AD6FCD" w14:textId="77777777" w:rsidR="002B3830" w:rsidRDefault="002B3830" w:rsidP="002B38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D7F126" w14:textId="6CBEF4ED" w:rsidR="002B3830" w:rsidRDefault="002B3830" w:rsidP="002B38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2B3830">
        <w:rPr>
          <w:rFonts w:ascii="Times New Roman" w:hAnsi="Times New Roman" w:cs="Times New Roman"/>
          <w:b/>
          <w:sz w:val="28"/>
          <w:szCs w:val="28"/>
        </w:rPr>
        <w:t>OWOH IFEANYI FESTUS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70684765" w14:textId="77777777" w:rsidR="002B3830" w:rsidRDefault="002B3830" w:rsidP="002B38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4B260E" w14:textId="77777777" w:rsidR="002B3830" w:rsidRDefault="002B3830" w:rsidP="002B383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ABSTRACT</w:t>
      </w:r>
    </w:p>
    <w:p w14:paraId="2B42F94A" w14:textId="77777777" w:rsidR="002B3830" w:rsidRDefault="002B383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1" w14:textId="77777777" w:rsidR="00951B25" w:rsidRDefault="00471EEC" w:rsidP="00471EE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</w:rPr>
        <w:t xml:space="preserve">A surge in the spread of antibiotic resistance has become alarming and due to this, neglected antibiotic solutions are being re-introduced to fight against pathogenic microorganisms.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Colistin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a drug of last resort treatment against multidrug drug resist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ant and extensively drug resistant Gram-negative bacteria. There is increased concern about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colistin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resistance worldwide. However, few studies have investigated the occurrence in Nigeria. This study was designed to estimate the distribution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colistin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sistance among Gram negative bacteria from different poultry farms in Abeokuta.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Faecal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feeds and drinking water samples were gotten from three different poultry farms in Abeokuta, Ogun State. The bacteria were isolated and identified phenotypically follow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standard microbiological methods. Disk diffusion method was used to determine the antibiotic susceptibility pattern of the isolates and the result interpreted using the CLSI guidelines. The Gram-negative bacteria isolates are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Escherichia coli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1(1.3%),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Proteus mirabilis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27 (34.6%),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Proteus vulgaris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 (12.8%),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Enterobacter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agglomerans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 (5.1%),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Klebsiella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oxytoca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11(14.1%),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Trabulsiella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guamensis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(1.3%),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Morganella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morganii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(2.6%),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Enterobacter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cancerogenus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 (3.8%),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Providencia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rettgeri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7 (8.9%),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lmonella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spp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(3.8%),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Xernorhabdus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luminescens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 (2.6%),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Citrobacter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amalonaticus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 (1.3%),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Leminorella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grimontii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 (1.3%), and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Citrobacter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diversus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 (1.3%). The distribution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colistin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resistance bacteria from different farms revealed that, 80% of isol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ates are resistance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colistin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from Farm 1, 87% from Farm 2 and 100% from Farm 3. The high resistance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colistin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among Gram negative bacteria in this study is worrisome. There is need for urgent intervention to curb the spread.</w:t>
      </w:r>
    </w:p>
    <w:bookmarkEnd w:id="0"/>
    <w:p w14:paraId="00000002" w14:textId="77777777" w:rsidR="00951B25" w:rsidRDefault="00951B2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951B25" w:rsidRDefault="00951B25"/>
    <w:sectPr w:rsidR="00951B2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51B25"/>
    <w:rsid w:val="002B3830"/>
    <w:rsid w:val="00471EEC"/>
    <w:rsid w:val="0095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6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3</cp:revision>
  <dcterms:created xsi:type="dcterms:W3CDTF">2021-11-25T19:41:00Z</dcterms:created>
  <dcterms:modified xsi:type="dcterms:W3CDTF">2021-11-25T19:42:00Z</dcterms:modified>
</cp:coreProperties>
</file>